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17" w:rsidRDefault="00872D17">
      <w:pPr>
        <w:pStyle w:val="Titre1"/>
      </w:pPr>
      <w:r>
        <w:t>Référendum cantonal</w:t>
      </w:r>
    </w:p>
    <w:p w:rsidR="00872D17" w:rsidRPr="00AC4AE8" w:rsidRDefault="00872D17" w:rsidP="00AC4AE8">
      <w:pPr>
        <w:rPr>
          <w:rFonts w:eastAsia="Times New Roman"/>
          <w:b/>
          <w:bCs/>
          <w:iCs/>
          <w:sz w:val="18"/>
          <w:szCs w:val="18"/>
          <w:u w:val="single"/>
        </w:rPr>
      </w:pPr>
      <w:r w:rsidRPr="00AC4AE8">
        <w:rPr>
          <w:rFonts w:eastAsia="Times New Roman"/>
          <w:b/>
          <w:bCs/>
          <w:iCs/>
          <w:sz w:val="18"/>
          <w:szCs w:val="18"/>
          <w:u w:val="single"/>
        </w:rPr>
        <w:t xml:space="preserve">Contre la </w:t>
      </w:r>
      <w:r w:rsidR="00AC4AE8" w:rsidRPr="00AC4AE8">
        <w:rPr>
          <w:rFonts w:eastAsia="Times New Roman"/>
          <w:b/>
          <w:bCs/>
          <w:iCs/>
          <w:sz w:val="18"/>
          <w:szCs w:val="18"/>
          <w:u w:val="single"/>
        </w:rPr>
        <w:t xml:space="preserve">Loi modifiant la loi générale sur les zones de développement (LGZD) (L 1 35) (Pour une utilisation rationnelle </w:t>
      </w:r>
      <w:r w:rsidR="008A718D">
        <w:rPr>
          <w:rFonts w:eastAsia="Times New Roman"/>
          <w:b/>
          <w:bCs/>
          <w:iCs/>
          <w:sz w:val="18"/>
          <w:szCs w:val="18"/>
          <w:u w:val="single"/>
        </w:rPr>
        <w:t>du sol) (10965), du 16 mai 2013</w:t>
      </w:r>
      <w:r w:rsidRPr="00AC4AE8">
        <w:rPr>
          <w:rFonts w:eastAsia="Times New Roman"/>
          <w:b/>
          <w:bCs/>
          <w:iCs/>
          <w:sz w:val="18"/>
          <w:szCs w:val="18"/>
          <w:u w:val="single"/>
        </w:rPr>
        <w:t>.</w:t>
      </w:r>
    </w:p>
    <w:p w:rsidR="00872D17" w:rsidRPr="000A3602" w:rsidRDefault="00AC4AE8" w:rsidP="000A3602">
      <w:pPr>
        <w:pStyle w:val="Titre1"/>
      </w:pPr>
      <w:r>
        <w:t>S</w:t>
      </w:r>
      <w:r w:rsidR="00872D17" w:rsidRPr="000A3602">
        <w:t>TOP A LA SURDENSIFICATION !</w:t>
      </w:r>
    </w:p>
    <w:p w:rsidR="00872D17" w:rsidRPr="00A25FE9" w:rsidRDefault="00872D17" w:rsidP="000A3602">
      <w:pPr>
        <w:pStyle w:val="Titre2"/>
        <w:rPr>
          <w:sz w:val="22"/>
          <w:szCs w:val="22"/>
        </w:rPr>
      </w:pPr>
      <w:r w:rsidRPr="00A25FE9">
        <w:rPr>
          <w:sz w:val="22"/>
          <w:szCs w:val="22"/>
        </w:rPr>
        <w:t xml:space="preserve">Exposé des motifs </w:t>
      </w:r>
    </w:p>
    <w:p w:rsidR="007A3901" w:rsidRPr="00A25FE9" w:rsidRDefault="00872D17" w:rsidP="000A3602">
      <w:pPr>
        <w:pStyle w:val="Corpsdetexte3"/>
        <w:numPr>
          <w:ilvl w:val="0"/>
          <w:numId w:val="2"/>
        </w:numPr>
        <w:spacing w:before="120"/>
        <w:ind w:left="714" w:hanging="357"/>
        <w:rPr>
          <w:sz w:val="22"/>
        </w:rPr>
      </w:pPr>
      <w:r w:rsidRPr="00A25FE9">
        <w:rPr>
          <w:b/>
          <w:bCs/>
          <w:sz w:val="22"/>
        </w:rPr>
        <w:t>NON</w:t>
      </w:r>
      <w:r w:rsidRPr="00A25FE9">
        <w:rPr>
          <w:sz w:val="22"/>
        </w:rPr>
        <w:t xml:space="preserve"> à une loi qui impose </w:t>
      </w:r>
      <w:r w:rsidR="009F7C90" w:rsidRPr="00A25FE9">
        <w:rPr>
          <w:sz w:val="22"/>
        </w:rPr>
        <w:t xml:space="preserve">une densification minimale </w:t>
      </w:r>
      <w:r w:rsidR="007A3901" w:rsidRPr="00A25FE9">
        <w:rPr>
          <w:sz w:val="22"/>
        </w:rPr>
        <w:t>encore plus élevée qu’aujourd’hui.</w:t>
      </w:r>
    </w:p>
    <w:p w:rsidR="00872D17" w:rsidRPr="00A25FE9" w:rsidRDefault="00872D17" w:rsidP="000A3602">
      <w:pPr>
        <w:pStyle w:val="Corpsdetexte3"/>
        <w:numPr>
          <w:ilvl w:val="0"/>
          <w:numId w:val="2"/>
        </w:numPr>
        <w:spacing w:before="120"/>
        <w:ind w:left="714" w:hanging="357"/>
        <w:rPr>
          <w:sz w:val="22"/>
        </w:rPr>
      </w:pPr>
      <w:r w:rsidRPr="00A25FE9">
        <w:rPr>
          <w:b/>
          <w:bCs/>
          <w:sz w:val="22"/>
        </w:rPr>
        <w:t>NON</w:t>
      </w:r>
      <w:r w:rsidRPr="00A25FE9">
        <w:rPr>
          <w:sz w:val="22"/>
        </w:rPr>
        <w:t xml:space="preserve"> à une loi qui </w:t>
      </w:r>
      <w:r w:rsidR="007A3901" w:rsidRPr="00A25FE9">
        <w:rPr>
          <w:sz w:val="22"/>
        </w:rPr>
        <w:t>ne laisse aucune souplesse en fonction de l’âme de chaque quartier.</w:t>
      </w:r>
    </w:p>
    <w:p w:rsidR="00872D17" w:rsidRPr="00A25FE9" w:rsidRDefault="00872D17" w:rsidP="000A3602">
      <w:pPr>
        <w:pStyle w:val="Corpsdetexte3"/>
        <w:numPr>
          <w:ilvl w:val="0"/>
          <w:numId w:val="2"/>
        </w:numPr>
        <w:spacing w:before="120"/>
        <w:ind w:left="714" w:hanging="357"/>
        <w:rPr>
          <w:sz w:val="22"/>
        </w:rPr>
      </w:pPr>
      <w:r w:rsidRPr="00A25FE9">
        <w:rPr>
          <w:b/>
          <w:bCs/>
          <w:sz w:val="22"/>
        </w:rPr>
        <w:t>NON</w:t>
      </w:r>
      <w:r w:rsidRPr="00A25FE9">
        <w:rPr>
          <w:sz w:val="22"/>
        </w:rPr>
        <w:t xml:space="preserve"> à une </w:t>
      </w:r>
      <w:r w:rsidR="007A3901" w:rsidRPr="00A25FE9">
        <w:rPr>
          <w:sz w:val="22"/>
        </w:rPr>
        <w:t>Genève très dense</w:t>
      </w:r>
      <w:r w:rsidR="00A25FE9" w:rsidRPr="00A25FE9">
        <w:rPr>
          <w:sz w:val="22"/>
        </w:rPr>
        <w:t xml:space="preserve"> de 600'000 habitants.</w:t>
      </w:r>
    </w:p>
    <w:p w:rsidR="00872D17" w:rsidRDefault="00872D17">
      <w:pPr>
        <w:pStyle w:val="Corpsdetexte3"/>
      </w:pPr>
    </w:p>
    <w:p w:rsidR="00872D17" w:rsidRDefault="00872D17" w:rsidP="000A3602">
      <w:pPr>
        <w:pStyle w:val="Titre2"/>
      </w:pPr>
      <w:r w:rsidRPr="000A3602">
        <w:t>Contenu du référendum</w:t>
      </w:r>
      <w:r>
        <w:t xml:space="preserve"> </w:t>
      </w:r>
    </w:p>
    <w:p w:rsidR="00872D17" w:rsidRDefault="00872D17" w:rsidP="009F7C90">
      <w:pPr>
        <w:pStyle w:val="Titre3"/>
        <w:spacing w:before="120" w:after="120"/>
        <w:ind w:left="-539" w:right="-1230"/>
        <w:jc w:val="both"/>
        <w:rPr>
          <w:sz w:val="14"/>
          <w:lang w:val="fr-FR"/>
        </w:rPr>
      </w:pPr>
      <w:r>
        <w:rPr>
          <w:sz w:val="14"/>
          <w:lang w:val="fr-FR"/>
        </w:rPr>
        <w:t xml:space="preserve">Les citoyennes et les citoyens soussignés, électrices et électeurs dans le canton de Genève, demandent, conformément au titre VI  articles 53 à 58 de la constitution de la République et canton de Genève du 24 mai 1847 et aux articles 85 à 91 de la loi sur l’exercice des droits politiques du 15 octobre 1982, que la Loi modifiant la Loi générale sur les zones de développement (LGZD) </w:t>
      </w:r>
      <w:r w:rsidR="00CA21FF">
        <w:rPr>
          <w:sz w:val="14"/>
          <w:lang w:val="fr-FR"/>
        </w:rPr>
        <w:t xml:space="preserve">(Pour une utilisation rationnelle du sol) (10965) </w:t>
      </w:r>
      <w:r>
        <w:rPr>
          <w:sz w:val="14"/>
          <w:lang w:val="fr-FR"/>
        </w:rPr>
        <w:t xml:space="preserve">du </w:t>
      </w:r>
      <w:r w:rsidR="009F7C90">
        <w:rPr>
          <w:sz w:val="14"/>
          <w:lang w:val="fr-FR"/>
        </w:rPr>
        <w:t>16 mai</w:t>
      </w:r>
      <w:r>
        <w:rPr>
          <w:sz w:val="14"/>
          <w:lang w:val="fr-FR"/>
        </w:rPr>
        <w:t xml:space="preserve"> </w:t>
      </w:r>
      <w:r w:rsidR="00CA21FF">
        <w:rPr>
          <w:sz w:val="14"/>
          <w:lang w:val="fr-FR"/>
        </w:rPr>
        <w:t>2013</w:t>
      </w:r>
      <w:r>
        <w:rPr>
          <w:sz w:val="14"/>
          <w:lang w:val="fr-FR"/>
        </w:rPr>
        <w:t>, soit soumise à votation populaire.</w:t>
      </w:r>
    </w:p>
    <w:p w:rsidR="00872D17" w:rsidRDefault="00872D17">
      <w:pPr>
        <w:pStyle w:val="Normalcentr"/>
        <w:jc w:val="both"/>
      </w:pPr>
      <w:r>
        <w:rPr>
          <w:szCs w:val="18"/>
        </w:rPr>
        <w:t>Celui qui appose une autre signature que la sienne ou plus d’une signature est passible d’une amende administrative pouvant s’élever à 100 F. Les signatures obtenues par un procédé réprimé par la loi doivent être annulées (art. 87, al.1, lettre b et 91, al. 3 de la loi sur l’exercice des droits politiques, du 15 octobre 1982).</w:t>
      </w:r>
    </w:p>
    <w:p w:rsidR="00872D17" w:rsidRDefault="00872D17">
      <w:pPr>
        <w:rPr>
          <w:rFonts w:ascii="Arial" w:hAnsi="Arial" w:cs="Arial"/>
          <w:iCs/>
          <w:sz w:val="8"/>
          <w:szCs w:val="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9"/>
        <w:gridCol w:w="2340"/>
        <w:gridCol w:w="1692"/>
        <w:gridCol w:w="1134"/>
        <w:gridCol w:w="4820"/>
        <w:gridCol w:w="2410"/>
      </w:tblGrid>
      <w:tr w:rsidR="00AC4AE8" w:rsidTr="00AC4AE8">
        <w:tc>
          <w:tcPr>
            <w:tcW w:w="3339" w:type="dxa"/>
          </w:tcPr>
          <w:p w:rsidR="00AC4AE8" w:rsidRDefault="00AC4AE8" w:rsidP="009F7C90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lang w:val="fr-FR"/>
              </w:rPr>
            </w:pPr>
            <w:r w:rsidRPr="009F7C90">
              <w:rPr>
                <w:rFonts w:cs="ArialMT"/>
                <w:b/>
                <w:sz w:val="18"/>
                <w:szCs w:val="18"/>
                <w:lang w:val="fr-FR"/>
              </w:rPr>
              <w:t>NOM</w:t>
            </w:r>
            <w:r>
              <w:rPr>
                <w:rFonts w:cs="ArialMT"/>
                <w:b/>
                <w:lang w:val="fr-FR"/>
              </w:rPr>
              <w:t xml:space="preserve"> </w:t>
            </w:r>
            <w:r>
              <w:rPr>
                <w:rFonts w:cs="ArialMT"/>
                <w:lang w:val="fr-FR"/>
              </w:rPr>
              <w:t>(en majuscules)</w:t>
            </w:r>
          </w:p>
        </w:tc>
        <w:tc>
          <w:tcPr>
            <w:tcW w:w="2340" w:type="dxa"/>
          </w:tcPr>
          <w:p w:rsidR="00AC4AE8" w:rsidRPr="009F7C90" w:rsidRDefault="00AC4AE8" w:rsidP="009F7C90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18"/>
                <w:szCs w:val="18"/>
                <w:lang w:val="fr-FR"/>
              </w:rPr>
            </w:pPr>
            <w:r w:rsidRPr="009F7C90">
              <w:rPr>
                <w:rFonts w:cs="ArialMT"/>
                <w:b/>
                <w:sz w:val="18"/>
                <w:szCs w:val="18"/>
                <w:lang w:val="fr-FR"/>
              </w:rPr>
              <w:t>Prénom</w:t>
            </w:r>
          </w:p>
        </w:tc>
        <w:tc>
          <w:tcPr>
            <w:tcW w:w="1692" w:type="dxa"/>
          </w:tcPr>
          <w:p w:rsidR="00AC4AE8" w:rsidRDefault="00AC4AE8" w:rsidP="009F7C90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10"/>
                <w:szCs w:val="16"/>
                <w:lang w:val="fr-FR"/>
              </w:rPr>
            </w:pPr>
            <w:r w:rsidRPr="009F7C90">
              <w:rPr>
                <w:rFonts w:cs="ArialMT"/>
                <w:b/>
                <w:sz w:val="18"/>
                <w:szCs w:val="18"/>
                <w:lang w:val="fr-FR"/>
              </w:rPr>
              <w:t>Date de naissance</w:t>
            </w:r>
            <w:r>
              <w:rPr>
                <w:rFonts w:cs="ArialMT"/>
                <w:b/>
                <w:szCs w:val="16"/>
                <w:lang w:val="fr-FR"/>
              </w:rPr>
              <w:t xml:space="preserve"> </w:t>
            </w:r>
          </w:p>
          <w:p w:rsidR="00AC4AE8" w:rsidRPr="00AC4AE8" w:rsidRDefault="00AC4AE8" w:rsidP="009F7C90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Cs w:val="16"/>
                <w:lang w:val="fr-FR"/>
              </w:rPr>
            </w:pPr>
            <w:r>
              <w:rPr>
                <w:rFonts w:cs="ArialMT"/>
                <w:szCs w:val="16"/>
                <w:lang w:val="fr-FR"/>
              </w:rPr>
              <w:t>(</w:t>
            </w:r>
            <w:r w:rsidRPr="00AC4AE8">
              <w:rPr>
                <w:rFonts w:cs="ArialMT"/>
                <w:szCs w:val="16"/>
                <w:lang w:val="fr-FR"/>
              </w:rPr>
              <w:t>JJ/MM/AAAA</w:t>
            </w:r>
            <w:r>
              <w:rPr>
                <w:rFonts w:cs="ArialMT"/>
                <w:szCs w:val="16"/>
                <w:lang w:val="fr-FR"/>
              </w:rPr>
              <w:t>)</w:t>
            </w:r>
          </w:p>
        </w:tc>
        <w:tc>
          <w:tcPr>
            <w:tcW w:w="1134" w:type="dxa"/>
          </w:tcPr>
          <w:p w:rsidR="00AC4AE8" w:rsidRPr="009F7C90" w:rsidRDefault="00AC4AE8" w:rsidP="009F7C90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18"/>
                <w:szCs w:val="18"/>
                <w:lang w:val="fr-FR"/>
              </w:rPr>
            </w:pPr>
            <w:r w:rsidRPr="009F7C90">
              <w:rPr>
                <w:rFonts w:cs="ArialMT"/>
                <w:b/>
                <w:sz w:val="18"/>
                <w:szCs w:val="18"/>
                <w:lang w:val="fr-FR"/>
              </w:rPr>
              <w:t>Canton d'origine</w:t>
            </w:r>
          </w:p>
        </w:tc>
        <w:tc>
          <w:tcPr>
            <w:tcW w:w="4820" w:type="dxa"/>
          </w:tcPr>
          <w:p w:rsidR="00AC4AE8" w:rsidRDefault="00AC4AE8" w:rsidP="000B154C">
            <w:pPr>
              <w:autoSpaceDE w:val="0"/>
              <w:autoSpaceDN w:val="0"/>
              <w:adjustRightInd w:val="0"/>
              <w:jc w:val="center"/>
              <w:rPr>
                <w:rFonts w:cs="ArialMT"/>
                <w:szCs w:val="16"/>
                <w:lang w:val="fr-FR"/>
              </w:rPr>
            </w:pPr>
            <w:r w:rsidRPr="009F7C90">
              <w:rPr>
                <w:rFonts w:cs="ArialMT"/>
                <w:b/>
                <w:sz w:val="18"/>
                <w:szCs w:val="18"/>
                <w:lang w:val="fr-FR"/>
              </w:rPr>
              <w:t>Domicile</w:t>
            </w:r>
            <w:r>
              <w:rPr>
                <w:rFonts w:cs="ArialMT"/>
                <w:b/>
                <w:lang w:val="fr-FR"/>
              </w:rPr>
              <w:br/>
            </w:r>
            <w:r w:rsidRPr="00AC4AE8">
              <w:rPr>
                <w:rFonts w:cs="ArialMT"/>
                <w:sz w:val="18"/>
                <w:szCs w:val="18"/>
                <w:lang w:val="fr-FR"/>
              </w:rPr>
              <w:t>(</w:t>
            </w:r>
            <w:r w:rsidR="000B154C">
              <w:rPr>
                <w:rFonts w:cs="ArialMT"/>
                <w:sz w:val="18"/>
                <w:szCs w:val="18"/>
                <w:lang w:val="fr-FR"/>
              </w:rPr>
              <w:t>R</w:t>
            </w:r>
            <w:r w:rsidRPr="00AC4AE8">
              <w:rPr>
                <w:rFonts w:cs="ArialMT"/>
                <w:sz w:val="18"/>
                <w:szCs w:val="18"/>
                <w:lang w:val="fr-FR"/>
              </w:rPr>
              <w:t>ue, numéro, numéro postal, localité)</w:t>
            </w:r>
          </w:p>
        </w:tc>
        <w:tc>
          <w:tcPr>
            <w:tcW w:w="2410" w:type="dxa"/>
          </w:tcPr>
          <w:p w:rsidR="00AC4AE8" w:rsidRDefault="00AC4AE8" w:rsidP="009F7C90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lang w:val="fr-FR"/>
              </w:rPr>
            </w:pPr>
            <w:r w:rsidRPr="009F7C90">
              <w:rPr>
                <w:rFonts w:cs="ArialMT"/>
                <w:b/>
                <w:sz w:val="18"/>
                <w:szCs w:val="18"/>
                <w:lang w:val="fr-FR"/>
              </w:rPr>
              <w:t>Signature</w:t>
            </w:r>
          </w:p>
        </w:tc>
      </w:tr>
      <w:tr w:rsidR="00AC4AE8" w:rsidTr="00AC4AE8">
        <w:trPr>
          <w:trHeight w:val="680"/>
        </w:trPr>
        <w:tc>
          <w:tcPr>
            <w:tcW w:w="3339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34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692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134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482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41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</w:tr>
      <w:tr w:rsidR="00AC4AE8" w:rsidTr="00AC4AE8">
        <w:trPr>
          <w:trHeight w:val="680"/>
        </w:trPr>
        <w:tc>
          <w:tcPr>
            <w:tcW w:w="3339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34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692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134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482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41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</w:tr>
      <w:tr w:rsidR="00AC4AE8" w:rsidTr="00AC4AE8">
        <w:trPr>
          <w:trHeight w:val="680"/>
        </w:trPr>
        <w:tc>
          <w:tcPr>
            <w:tcW w:w="3339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34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692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134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482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41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</w:tr>
      <w:tr w:rsidR="00AC4AE8" w:rsidTr="00AC4AE8">
        <w:trPr>
          <w:trHeight w:val="680"/>
        </w:trPr>
        <w:tc>
          <w:tcPr>
            <w:tcW w:w="3339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34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692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134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482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41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</w:tr>
      <w:tr w:rsidR="00AC4AE8" w:rsidTr="00AC4AE8">
        <w:trPr>
          <w:trHeight w:val="680"/>
        </w:trPr>
        <w:tc>
          <w:tcPr>
            <w:tcW w:w="3339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34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692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1134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482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  <w:tc>
          <w:tcPr>
            <w:tcW w:w="2410" w:type="dxa"/>
          </w:tcPr>
          <w:p w:rsidR="00AC4AE8" w:rsidRDefault="00AC4AE8">
            <w:pPr>
              <w:autoSpaceDE w:val="0"/>
              <w:autoSpaceDN w:val="0"/>
              <w:adjustRightInd w:val="0"/>
              <w:rPr>
                <w:rFonts w:cs="ArialMT"/>
                <w:sz w:val="18"/>
                <w:lang w:val="fr-FR"/>
              </w:rPr>
            </w:pPr>
          </w:p>
        </w:tc>
      </w:tr>
    </w:tbl>
    <w:p w:rsidR="00872D17" w:rsidRPr="000A3602" w:rsidRDefault="00872D17">
      <w:pPr>
        <w:spacing w:before="40"/>
        <w:ind w:left="-567" w:right="-1228"/>
        <w:jc w:val="both"/>
        <w:rPr>
          <w:sz w:val="18"/>
          <w:szCs w:val="18"/>
          <w:lang w:val="fr-FR"/>
        </w:rPr>
      </w:pPr>
      <w:r w:rsidRPr="000A3602">
        <w:rPr>
          <w:b/>
          <w:bCs/>
          <w:sz w:val="18"/>
          <w:szCs w:val="18"/>
        </w:rPr>
        <w:t xml:space="preserve">En matière cantonale, seuls les citoyen-ne-s suisses domicilié-e-s dans le canton de Genève peuvent signer. </w:t>
      </w:r>
      <w:r w:rsidRPr="000A3602">
        <w:rPr>
          <w:b/>
          <w:bCs/>
          <w:sz w:val="18"/>
          <w:szCs w:val="18"/>
          <w:u w:val="single"/>
        </w:rPr>
        <w:t>Les électrices et électeurs de communes différentes peuvent signer sur la même feuille</w:t>
      </w:r>
      <w:r w:rsidRPr="000A3602">
        <w:rPr>
          <w:b/>
          <w:bCs/>
          <w:sz w:val="18"/>
          <w:szCs w:val="18"/>
        </w:rPr>
        <w:t>. Les Suisses vivant à l’étranger et ayant leur droit de vote sur le canton de Genève peuvent signer le présent référendum en inscrivant leur adresse à l’étranger.</w:t>
      </w:r>
    </w:p>
    <w:p w:rsidR="00872D17" w:rsidRDefault="00872D17" w:rsidP="000606C6">
      <w:pPr>
        <w:spacing w:before="240"/>
        <w:ind w:left="-567" w:right="-1276"/>
        <w:rPr>
          <w:sz w:val="14"/>
          <w:lang w:val="fr-FR"/>
        </w:rPr>
      </w:pPr>
      <w:r>
        <w:rPr>
          <w:sz w:val="14"/>
          <w:lang w:val="fr-FR"/>
        </w:rPr>
        <w:t>Le Service des votations et élections certifie la validité de ......</w:t>
      </w:r>
      <w:r w:rsidR="009F7C90">
        <w:rPr>
          <w:sz w:val="14"/>
          <w:lang w:val="fr-FR"/>
        </w:rPr>
        <w:t xml:space="preserve">.... </w:t>
      </w:r>
      <w:r>
        <w:rPr>
          <w:sz w:val="14"/>
          <w:lang w:val="fr-FR"/>
        </w:rPr>
        <w:t xml:space="preserve">signatures. </w:t>
      </w:r>
      <w:r>
        <w:rPr>
          <w:sz w:val="14"/>
          <w:lang w:val="fr-FR"/>
        </w:rPr>
        <w:tab/>
      </w:r>
      <w:r>
        <w:rPr>
          <w:sz w:val="14"/>
          <w:lang w:val="fr-FR"/>
        </w:rPr>
        <w:tab/>
      </w:r>
      <w:r>
        <w:rPr>
          <w:sz w:val="14"/>
          <w:lang w:val="fr-FR"/>
        </w:rPr>
        <w:tab/>
        <w:t>Le contrôleur:......</w:t>
      </w:r>
      <w:r w:rsidR="009F7C90">
        <w:rPr>
          <w:sz w:val="14"/>
          <w:lang w:val="fr-FR"/>
        </w:rPr>
        <w:t>............</w:t>
      </w:r>
      <w:r>
        <w:rPr>
          <w:sz w:val="14"/>
          <w:lang w:val="fr-FR"/>
        </w:rPr>
        <w:t>.................</w:t>
      </w:r>
      <w:r w:rsidR="009F7C90">
        <w:rPr>
          <w:sz w:val="14"/>
          <w:lang w:val="fr-FR"/>
        </w:rPr>
        <w:tab/>
      </w:r>
      <w:r w:rsidR="009F7C90">
        <w:rPr>
          <w:sz w:val="14"/>
          <w:lang w:val="fr-FR"/>
        </w:rPr>
        <w:tab/>
      </w:r>
      <w:r w:rsidR="009F7C90">
        <w:rPr>
          <w:sz w:val="14"/>
          <w:lang w:val="fr-FR"/>
        </w:rPr>
        <w:tab/>
      </w:r>
      <w:r w:rsidR="009F7C90">
        <w:rPr>
          <w:sz w:val="14"/>
          <w:lang w:val="fr-FR"/>
        </w:rPr>
        <w:tab/>
      </w:r>
      <w:r w:rsidR="009F7C90">
        <w:rPr>
          <w:sz w:val="14"/>
          <w:lang w:val="fr-FR"/>
        </w:rPr>
        <w:tab/>
        <w:t xml:space="preserve"> Genève, le </w:t>
      </w:r>
      <w:r>
        <w:rPr>
          <w:sz w:val="14"/>
          <w:lang w:val="fr-FR"/>
        </w:rPr>
        <w:t>........</w:t>
      </w:r>
      <w:r w:rsidR="009F7C90">
        <w:rPr>
          <w:sz w:val="14"/>
          <w:lang w:val="fr-FR"/>
        </w:rPr>
        <w:t>.................</w:t>
      </w:r>
      <w:r>
        <w:rPr>
          <w:sz w:val="14"/>
          <w:lang w:val="fr-FR"/>
        </w:rPr>
        <w:t>...............</w:t>
      </w:r>
    </w:p>
    <w:p w:rsidR="00872D17" w:rsidRDefault="007C422D">
      <w:pPr>
        <w:autoSpaceDE w:val="0"/>
        <w:autoSpaceDN w:val="0"/>
        <w:adjustRightInd w:val="0"/>
        <w:ind w:left="-567"/>
        <w:rPr>
          <w:rFonts w:ascii="ArialMT" w:hAnsi="ArialMT" w:cs="ArialMT"/>
          <w:sz w:val="6"/>
          <w:szCs w:val="6"/>
          <w:lang w:val="fr-FR"/>
        </w:rPr>
      </w:pPr>
      <w:r w:rsidRPr="007C422D">
        <w:rPr>
          <w:rFonts w:cs="ArialMT"/>
          <w:b/>
          <w:noProof/>
          <w:sz w:val="10"/>
          <w:szCs w:val="10"/>
          <w:lang w:val="de-CH"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9.1pt;margin-top:5.1pt;width:786pt;height:80.4pt;z-index:251657728">
            <v:textbox style="mso-next-textbox:#_x0000_s1028">
              <w:txbxContent>
                <w:p w:rsidR="00AC4AE8" w:rsidRPr="00A25FE9" w:rsidRDefault="00AC4AE8" w:rsidP="000606C6">
                  <w:pPr>
                    <w:tabs>
                      <w:tab w:val="left" w:pos="7620"/>
                    </w:tabs>
                    <w:ind w:right="107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25FE9">
                    <w:rPr>
                      <w:rFonts w:cs="Arial"/>
                      <w:b/>
                      <w:sz w:val="20"/>
                      <w:szCs w:val="20"/>
                    </w:rPr>
                    <w:t xml:space="preserve">A renvoyer jusqu’au </w:t>
                  </w:r>
                  <w:r w:rsidR="001B1E0A" w:rsidRPr="001B1E0A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 xml:space="preserve">8 juillet </w:t>
                  </w:r>
                  <w:r w:rsidRPr="001B1E0A">
                    <w:rPr>
                      <w:rFonts w:cs="Arial"/>
                      <w:b/>
                      <w:sz w:val="20"/>
                      <w:szCs w:val="20"/>
                      <w:u w:val="single"/>
                    </w:rPr>
                    <w:t>2013</w:t>
                  </w:r>
                  <w:r w:rsidRPr="00A25FE9">
                    <w:rPr>
                      <w:rFonts w:cs="Arial"/>
                      <w:b/>
                      <w:sz w:val="20"/>
                      <w:szCs w:val="20"/>
                    </w:rPr>
                    <w:t xml:space="preserve"> au Comité référendaire (même incomplète)</w:t>
                  </w:r>
                  <w:r w:rsidRPr="00A25FE9">
                    <w:rPr>
                      <w:rFonts w:cs="Arial"/>
                      <w:bCs/>
                      <w:sz w:val="20"/>
                      <w:szCs w:val="20"/>
                    </w:rPr>
                    <w:t>:</w:t>
                  </w:r>
                  <w:r w:rsidR="00B204EE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Pr="00A25FE9">
                    <w:rPr>
                      <w:rFonts w:cs="Arial"/>
                      <w:bCs/>
                      <w:sz w:val="20"/>
                      <w:szCs w:val="20"/>
                    </w:rPr>
                    <w:t xml:space="preserve">Stop </w:t>
                  </w:r>
                  <w:r w:rsidR="00A72B1E">
                    <w:rPr>
                      <w:rFonts w:cs="Arial"/>
                      <w:bCs/>
                      <w:sz w:val="20"/>
                      <w:szCs w:val="20"/>
                    </w:rPr>
                    <w:t>S</w:t>
                  </w:r>
                  <w:r w:rsidRPr="00A25FE9">
                    <w:rPr>
                      <w:rFonts w:cs="Arial"/>
                      <w:bCs/>
                      <w:sz w:val="20"/>
                      <w:szCs w:val="20"/>
                    </w:rPr>
                    <w:t xml:space="preserve">urdensification, </w:t>
                  </w:r>
                  <w:r w:rsidR="00B204EE">
                    <w:rPr>
                      <w:rFonts w:cs="Arial"/>
                      <w:bCs/>
                      <w:sz w:val="20"/>
                      <w:szCs w:val="20"/>
                    </w:rPr>
                    <w:t>Grange Collomb 32, 1212 Grand Lancy</w:t>
                  </w:r>
                </w:p>
                <w:p w:rsidR="00AC4AE8" w:rsidRPr="00A25FE9" w:rsidRDefault="00AC4AE8">
                  <w:pPr>
                    <w:tabs>
                      <w:tab w:val="left" w:pos="7620"/>
                    </w:tabs>
                    <w:ind w:right="107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25FE9">
                    <w:rPr>
                      <w:rFonts w:cs="Arial"/>
                      <w:bCs/>
                      <w:sz w:val="20"/>
                      <w:szCs w:val="20"/>
                    </w:rPr>
                    <w:t xml:space="preserve">D’autres listes peuvent être téléchargées sur le site Internet : </w:t>
                  </w:r>
                  <w:r w:rsidRPr="00A25FE9">
                    <w:rPr>
                      <w:rFonts w:cs="Arial"/>
                      <w:bCs/>
                      <w:color w:val="0000FF"/>
                      <w:sz w:val="20"/>
                      <w:szCs w:val="20"/>
                      <w:u w:val="single"/>
                    </w:rPr>
                    <w:t>www.stop</w:t>
                  </w:r>
                  <w:r>
                    <w:rPr>
                      <w:rFonts w:cs="Arial"/>
                      <w:bCs/>
                      <w:color w:val="0000FF"/>
                      <w:sz w:val="20"/>
                      <w:szCs w:val="20"/>
                      <w:u w:val="single"/>
                    </w:rPr>
                    <w:t>sur</w:t>
                  </w:r>
                  <w:r w:rsidRPr="00A25FE9">
                    <w:rPr>
                      <w:rFonts w:cs="Arial"/>
                      <w:bCs/>
                      <w:color w:val="0000FF"/>
                      <w:sz w:val="20"/>
                      <w:szCs w:val="20"/>
                      <w:u w:val="single"/>
                    </w:rPr>
                    <w:t>densification.ch</w:t>
                  </w:r>
                </w:p>
                <w:p w:rsidR="00AC4AE8" w:rsidRDefault="00AC4AE8" w:rsidP="000A3602">
                  <w:pPr>
                    <w:tabs>
                      <w:tab w:val="left" w:pos="7620"/>
                    </w:tabs>
                    <w:ind w:right="107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25FE9">
                    <w:rPr>
                      <w:rFonts w:cs="Arial"/>
                      <w:bCs/>
                      <w:sz w:val="20"/>
                      <w:szCs w:val="20"/>
                    </w:rPr>
                    <w:t>ou commandées par téléphone au numéro : 0</w:t>
                  </w:r>
                  <w:r w:rsidR="000B154C">
                    <w:rPr>
                      <w:rFonts w:cs="Arial"/>
                      <w:bCs/>
                      <w:sz w:val="20"/>
                      <w:szCs w:val="20"/>
                    </w:rPr>
                    <w:t>22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="008A718D">
                    <w:rPr>
                      <w:rFonts w:cs="Arial"/>
                      <w:bCs/>
                      <w:sz w:val="20"/>
                      <w:szCs w:val="20"/>
                    </w:rPr>
                    <w:t>343 91 90</w:t>
                  </w:r>
                  <w:r w:rsidR="00D40E49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Pr="00A25FE9">
                    <w:rPr>
                      <w:rFonts w:cs="Arial"/>
                      <w:bCs/>
                      <w:sz w:val="20"/>
                      <w:szCs w:val="20"/>
                    </w:rPr>
                    <w:t xml:space="preserve">ou encore par E-mail à l’adresse suivante : </w:t>
                  </w:r>
                  <w:hyperlink r:id="rId6" w:history="1">
                    <w:r w:rsidR="00FA0EDC" w:rsidRPr="00BF6ACA">
                      <w:rPr>
                        <w:rStyle w:val="Lienhypertexte"/>
                        <w:rFonts w:cs="Arial"/>
                        <w:bCs/>
                        <w:sz w:val="20"/>
                        <w:szCs w:val="20"/>
                      </w:rPr>
                      <w:t>referendum@stopsurdensification.ch</w:t>
                    </w:r>
                  </w:hyperlink>
                </w:p>
                <w:p w:rsidR="00AC4AE8" w:rsidRPr="00A25FE9" w:rsidRDefault="00AC4AE8" w:rsidP="000A3602">
                  <w:pPr>
                    <w:tabs>
                      <w:tab w:val="left" w:pos="7620"/>
                    </w:tabs>
                    <w:ind w:right="107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Ce référendum est soutenu par les associations : </w:t>
                  </w:r>
                  <w:r w:rsidR="00FA0EDC">
                    <w:rPr>
                      <w:rFonts w:cs="Arial"/>
                      <w:bCs/>
                      <w:sz w:val="20"/>
                      <w:szCs w:val="20"/>
                    </w:rPr>
                    <w:t>Pic</w:t>
                  </w:r>
                  <w:r w:rsidR="00FA0EDC" w:rsidRPr="00FA0EDC">
                    <w:rPr>
                      <w:rFonts w:cs="Arial"/>
                      <w:bCs/>
                      <w:sz w:val="20"/>
                      <w:szCs w:val="20"/>
                    </w:rPr>
                    <w:t xml:space="preserve">-Vert, Nature et Patrimoine du Val d’Aïre, </w:t>
                  </w:r>
                  <w:r w:rsidR="00D40E49">
                    <w:rPr>
                      <w:rFonts w:cs="Arial"/>
                      <w:bCs/>
                      <w:sz w:val="20"/>
                      <w:szCs w:val="20"/>
                    </w:rPr>
                    <w:t>p</w:t>
                  </w:r>
                  <w:r w:rsidR="00FA0EDC" w:rsidRPr="00FA0EDC">
                    <w:rPr>
                      <w:rFonts w:cs="Arial"/>
                      <w:bCs/>
                      <w:sz w:val="20"/>
                      <w:szCs w:val="20"/>
                    </w:rPr>
                    <w:t xml:space="preserve">our la Sauvegarde de Confignon, </w:t>
                  </w:r>
                  <w:r w:rsidR="00D40E49">
                    <w:rPr>
                      <w:rFonts w:cs="Arial"/>
                      <w:bCs/>
                      <w:sz w:val="20"/>
                      <w:szCs w:val="20"/>
                    </w:rPr>
                    <w:t>d</w:t>
                  </w:r>
                  <w:r w:rsidR="00FA0EDC" w:rsidRPr="00FA0EDC">
                    <w:rPr>
                      <w:rFonts w:cs="Arial"/>
                      <w:bCs/>
                      <w:sz w:val="20"/>
                      <w:szCs w:val="20"/>
                    </w:rPr>
                    <w:t xml:space="preserve">u quartier Veyrier-Rasse-Marais, </w:t>
                  </w:r>
                  <w:r w:rsidR="00D40E49" w:rsidRPr="00D40E49">
                    <w:rPr>
                      <w:rFonts w:cs="Arial"/>
                      <w:bCs/>
                      <w:sz w:val="20"/>
                      <w:szCs w:val="20"/>
                    </w:rPr>
                    <w:t xml:space="preserve">des Mouilles, Bosson-Pralée, Groupement pour la Sauvegarde du Plateau de Saint-Georges, </w:t>
                  </w:r>
                  <w:r w:rsidR="00811487">
                    <w:rPr>
                      <w:rFonts w:cs="Arial"/>
                      <w:bCs/>
                      <w:sz w:val="20"/>
                      <w:szCs w:val="20"/>
                    </w:rPr>
                    <w:t xml:space="preserve">des Intérêts </w:t>
                  </w:r>
                  <w:r w:rsidR="00D40E49" w:rsidRPr="00D40E49">
                    <w:rPr>
                      <w:rFonts w:cs="Arial"/>
                      <w:bCs/>
                      <w:sz w:val="20"/>
                      <w:szCs w:val="20"/>
                    </w:rPr>
                    <w:t>des Habitants du Chemin des Corbillettes</w:t>
                  </w:r>
                  <w:r w:rsidR="00811487">
                    <w:rPr>
                      <w:rFonts w:cs="Arial"/>
                      <w:bCs/>
                      <w:sz w:val="20"/>
                      <w:szCs w:val="20"/>
                    </w:rPr>
                    <w:t xml:space="preserve"> AICC</w:t>
                  </w:r>
                  <w:r w:rsidR="00D40E49">
                    <w:rPr>
                      <w:rFonts w:cs="Arial"/>
                      <w:bCs/>
                      <w:sz w:val="20"/>
                      <w:szCs w:val="20"/>
                    </w:rPr>
                    <w:t xml:space="preserve">, </w:t>
                  </w:r>
                  <w:r w:rsidR="00811487">
                    <w:rPr>
                      <w:rFonts w:cs="Arial"/>
                      <w:bCs/>
                      <w:sz w:val="20"/>
                      <w:szCs w:val="20"/>
                    </w:rPr>
                    <w:t xml:space="preserve">les Passeraux,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ainsi que les partis</w:t>
                  </w:r>
                  <w:r w:rsidR="00811487">
                    <w:rPr>
                      <w:rFonts w:cs="Arial"/>
                      <w:bCs/>
                      <w:sz w:val="20"/>
                      <w:szCs w:val="20"/>
                    </w:rPr>
                    <w:t xml:space="preserve"> politiques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: MCG</w:t>
                  </w:r>
                  <w:r w:rsidR="00811487">
                    <w:rPr>
                      <w:rFonts w:cs="Arial"/>
                      <w:bCs/>
                      <w:sz w:val="20"/>
                      <w:szCs w:val="20"/>
                    </w:rPr>
                    <w:t xml:space="preserve"> Mouvement des Citoyens Genevois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, UDC</w:t>
                  </w:r>
                  <w:r w:rsidR="00811487">
                    <w:rPr>
                      <w:rFonts w:cs="Arial"/>
                      <w:bCs/>
                      <w:sz w:val="20"/>
                      <w:szCs w:val="20"/>
                    </w:rPr>
                    <w:t xml:space="preserve"> Union Démocratique du Centre</w:t>
                  </w:r>
                  <w:r w:rsidR="00471CEE">
                    <w:rPr>
                      <w:rFonts w:cs="Arial"/>
                      <w:bCs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AA16F2" w:rsidRDefault="00AA16F2">
      <w:pPr>
        <w:autoSpaceDE w:val="0"/>
        <w:autoSpaceDN w:val="0"/>
        <w:adjustRightInd w:val="0"/>
        <w:ind w:left="-567" w:right="-1276"/>
        <w:jc w:val="both"/>
        <w:rPr>
          <w:rFonts w:cs="ArialMT"/>
          <w:b/>
          <w:sz w:val="10"/>
          <w:szCs w:val="10"/>
          <w:lang w:val="fr-FR"/>
        </w:rPr>
        <w:sectPr w:rsidR="00AA16F2">
          <w:type w:val="continuous"/>
          <w:pgSz w:w="16838" w:h="11906" w:orient="landscape"/>
          <w:pgMar w:top="180" w:right="1812" w:bottom="46" w:left="1134" w:header="709" w:footer="709" w:gutter="0"/>
          <w:cols w:space="708"/>
          <w:docGrid w:linePitch="360"/>
        </w:sectPr>
      </w:pPr>
    </w:p>
    <w:p w:rsidR="008364FE" w:rsidRDefault="008364FE" w:rsidP="00AA16F2">
      <w:pPr>
        <w:rPr>
          <w:b/>
          <w:sz w:val="24"/>
          <w:szCs w:val="24"/>
        </w:rPr>
      </w:pPr>
      <w:r w:rsidRPr="008364FE">
        <w:rPr>
          <w:b/>
          <w:sz w:val="24"/>
          <w:szCs w:val="24"/>
        </w:rPr>
        <w:lastRenderedPageBreak/>
        <w:t>Les arguments pour signer le référendum</w:t>
      </w:r>
    </w:p>
    <w:p w:rsidR="008364FE" w:rsidRPr="008364FE" w:rsidRDefault="008364FE" w:rsidP="00AA16F2">
      <w:pPr>
        <w:rPr>
          <w:b/>
          <w:sz w:val="24"/>
          <w:szCs w:val="24"/>
        </w:rPr>
      </w:pPr>
      <w:r w:rsidRPr="008364FE">
        <w:rPr>
          <w:b/>
          <w:sz w:val="24"/>
          <w:szCs w:val="24"/>
        </w:rPr>
        <w:t>Stop à la Surdensification</w:t>
      </w:r>
    </w:p>
    <w:p w:rsidR="008364FE" w:rsidRDefault="008364FE" w:rsidP="00AA16F2">
      <w:pPr>
        <w:rPr>
          <w:sz w:val="24"/>
          <w:szCs w:val="24"/>
        </w:rPr>
      </w:pPr>
    </w:p>
    <w:p w:rsidR="000606C6" w:rsidRDefault="000606C6" w:rsidP="00AA16F2">
      <w:pPr>
        <w:rPr>
          <w:sz w:val="24"/>
          <w:szCs w:val="24"/>
        </w:rPr>
      </w:pPr>
      <w:r>
        <w:rPr>
          <w:sz w:val="24"/>
          <w:szCs w:val="24"/>
        </w:rPr>
        <w:t>La nouvelle loi 10965</w:t>
      </w:r>
      <w:r w:rsidR="00AA16F2" w:rsidRPr="000606C6">
        <w:rPr>
          <w:sz w:val="24"/>
          <w:szCs w:val="24"/>
        </w:rPr>
        <w:t xml:space="preserve"> impose des densités de constructions considérables </w:t>
      </w:r>
      <w:r w:rsidR="00E42729">
        <w:rPr>
          <w:sz w:val="24"/>
          <w:szCs w:val="24"/>
        </w:rPr>
        <w:t>dan</w:t>
      </w:r>
      <w:r w:rsidR="00AA16F2" w:rsidRPr="000606C6">
        <w:rPr>
          <w:sz w:val="24"/>
          <w:szCs w:val="24"/>
        </w:rPr>
        <w:t>s tout</w:t>
      </w:r>
      <w:r w:rsidR="00E42729">
        <w:rPr>
          <w:sz w:val="24"/>
          <w:szCs w:val="24"/>
        </w:rPr>
        <w:t>es</w:t>
      </w:r>
      <w:r w:rsidR="00AA16F2" w:rsidRPr="000606C6">
        <w:rPr>
          <w:sz w:val="24"/>
          <w:szCs w:val="24"/>
        </w:rPr>
        <w:t xml:space="preserve"> </w:t>
      </w:r>
      <w:r w:rsidR="00E42729">
        <w:rPr>
          <w:sz w:val="24"/>
          <w:szCs w:val="24"/>
        </w:rPr>
        <w:t>les zones de développement. Par exemple : sur une parcelle de 1'000 m2 il faudra mettre un immeuble de 9 étages occupant 200 m2 au sol.</w:t>
      </w:r>
    </w:p>
    <w:p w:rsidR="000606C6" w:rsidRDefault="000606C6" w:rsidP="00AA16F2">
      <w:pPr>
        <w:rPr>
          <w:sz w:val="24"/>
          <w:szCs w:val="24"/>
        </w:rPr>
      </w:pPr>
    </w:p>
    <w:p w:rsidR="00AA16F2" w:rsidRPr="000606C6" w:rsidRDefault="00AA16F2" w:rsidP="00AA16F2">
      <w:pPr>
        <w:rPr>
          <w:sz w:val="24"/>
          <w:szCs w:val="24"/>
        </w:rPr>
      </w:pPr>
      <w:r w:rsidRPr="000606C6">
        <w:rPr>
          <w:sz w:val="24"/>
          <w:szCs w:val="24"/>
        </w:rPr>
        <w:t>Elle changera fondamentalement l’aspect de notre canton et accélér</w:t>
      </w:r>
      <w:r w:rsidR="00E42729">
        <w:rPr>
          <w:sz w:val="24"/>
          <w:szCs w:val="24"/>
        </w:rPr>
        <w:t>era</w:t>
      </w:r>
      <w:r w:rsidRPr="000606C6">
        <w:rPr>
          <w:sz w:val="24"/>
          <w:szCs w:val="24"/>
        </w:rPr>
        <w:t xml:space="preserve"> les nuisances auxquelles nous sommes déjà tous confrontés.</w:t>
      </w:r>
    </w:p>
    <w:p w:rsidR="000606C6" w:rsidRDefault="000606C6" w:rsidP="00AA16F2">
      <w:pPr>
        <w:rPr>
          <w:sz w:val="24"/>
          <w:szCs w:val="24"/>
        </w:rPr>
      </w:pPr>
    </w:p>
    <w:p w:rsidR="000606C6" w:rsidRDefault="00AA16F2" w:rsidP="00AA16F2">
      <w:pPr>
        <w:rPr>
          <w:sz w:val="24"/>
          <w:szCs w:val="24"/>
        </w:rPr>
      </w:pPr>
      <w:r w:rsidRPr="000606C6">
        <w:rPr>
          <w:sz w:val="24"/>
          <w:szCs w:val="24"/>
        </w:rPr>
        <w:t xml:space="preserve">La loi actuelle permet déjà de densifier. Elle n’impose pas de minimum et </w:t>
      </w:r>
      <w:r w:rsidR="00362E5E">
        <w:rPr>
          <w:sz w:val="24"/>
          <w:szCs w:val="24"/>
        </w:rPr>
        <w:t>permet de tenir</w:t>
      </w:r>
      <w:r w:rsidR="00E42729">
        <w:rPr>
          <w:sz w:val="24"/>
          <w:szCs w:val="24"/>
        </w:rPr>
        <w:t xml:space="preserve"> </w:t>
      </w:r>
      <w:r w:rsidRPr="000606C6">
        <w:rPr>
          <w:sz w:val="24"/>
          <w:szCs w:val="24"/>
        </w:rPr>
        <w:t>compte des lieux, des quartiers et des communes.</w:t>
      </w:r>
    </w:p>
    <w:p w:rsidR="000606C6" w:rsidRDefault="000606C6" w:rsidP="00AA16F2">
      <w:pPr>
        <w:rPr>
          <w:sz w:val="24"/>
          <w:szCs w:val="24"/>
        </w:rPr>
      </w:pPr>
    </w:p>
    <w:p w:rsidR="00AA16F2" w:rsidRPr="000606C6" w:rsidRDefault="00AA16F2" w:rsidP="00AA16F2">
      <w:pPr>
        <w:rPr>
          <w:sz w:val="24"/>
          <w:szCs w:val="24"/>
        </w:rPr>
      </w:pPr>
      <w:r w:rsidRPr="000606C6">
        <w:rPr>
          <w:sz w:val="24"/>
          <w:szCs w:val="24"/>
        </w:rPr>
        <w:t>Le manque actuel de logements ne doit pas servir de prétexte à la construction d’ensemble</w:t>
      </w:r>
      <w:r w:rsidR="00E42729">
        <w:rPr>
          <w:sz w:val="24"/>
          <w:szCs w:val="24"/>
        </w:rPr>
        <w:t>s</w:t>
      </w:r>
      <w:r w:rsidRPr="000606C6">
        <w:rPr>
          <w:sz w:val="24"/>
          <w:szCs w:val="24"/>
        </w:rPr>
        <w:t xml:space="preserve"> de</w:t>
      </w:r>
      <w:r w:rsidR="000606C6">
        <w:rPr>
          <w:sz w:val="24"/>
          <w:szCs w:val="24"/>
        </w:rPr>
        <w:t>nse</w:t>
      </w:r>
      <w:r w:rsidR="00E42729">
        <w:rPr>
          <w:sz w:val="24"/>
          <w:szCs w:val="24"/>
        </w:rPr>
        <w:t>s</w:t>
      </w:r>
      <w:r w:rsidRPr="000606C6">
        <w:rPr>
          <w:sz w:val="24"/>
          <w:szCs w:val="24"/>
        </w:rPr>
        <w:t>, dans le seul but d’y e</w:t>
      </w:r>
      <w:r w:rsidR="00362E5E">
        <w:rPr>
          <w:sz w:val="24"/>
          <w:szCs w:val="24"/>
        </w:rPr>
        <w:t>ntasser un maximum d’habitants.</w:t>
      </w:r>
    </w:p>
    <w:p w:rsidR="000606C6" w:rsidRDefault="00AA16F2" w:rsidP="00AA16F2">
      <w:pPr>
        <w:rPr>
          <w:sz w:val="24"/>
          <w:szCs w:val="24"/>
        </w:rPr>
      </w:pPr>
      <w:r w:rsidRPr="000606C6">
        <w:rPr>
          <w:sz w:val="24"/>
          <w:szCs w:val="24"/>
        </w:rPr>
        <w:t xml:space="preserve">Construisons avec discernement des logements qui favorisent la qualité de vie des </w:t>
      </w:r>
      <w:r w:rsidR="00E42729">
        <w:rPr>
          <w:sz w:val="24"/>
          <w:szCs w:val="24"/>
        </w:rPr>
        <w:t>Genevois</w:t>
      </w:r>
      <w:r w:rsidRPr="000606C6">
        <w:rPr>
          <w:sz w:val="24"/>
          <w:szCs w:val="24"/>
        </w:rPr>
        <w:t>.</w:t>
      </w:r>
    </w:p>
    <w:p w:rsidR="000606C6" w:rsidRDefault="000606C6" w:rsidP="00AA16F2">
      <w:pPr>
        <w:rPr>
          <w:sz w:val="24"/>
          <w:szCs w:val="24"/>
        </w:rPr>
      </w:pPr>
    </w:p>
    <w:p w:rsidR="000606C6" w:rsidRDefault="00AA16F2" w:rsidP="00AA16F2">
      <w:pPr>
        <w:rPr>
          <w:sz w:val="24"/>
          <w:szCs w:val="24"/>
        </w:rPr>
      </w:pPr>
      <w:r w:rsidRPr="000606C6">
        <w:rPr>
          <w:sz w:val="24"/>
          <w:szCs w:val="24"/>
        </w:rPr>
        <w:t>N</w:t>
      </w:r>
      <w:r w:rsidR="00E42729">
        <w:rPr>
          <w:sz w:val="24"/>
          <w:szCs w:val="24"/>
        </w:rPr>
        <w:t>ON</w:t>
      </w:r>
      <w:r w:rsidRPr="000606C6">
        <w:rPr>
          <w:sz w:val="24"/>
          <w:szCs w:val="24"/>
        </w:rPr>
        <w:t xml:space="preserve"> à des minima élevés qui ne laisse</w:t>
      </w:r>
      <w:r w:rsidR="00362E5E">
        <w:rPr>
          <w:sz w:val="24"/>
          <w:szCs w:val="24"/>
        </w:rPr>
        <w:t>nt</w:t>
      </w:r>
      <w:r w:rsidRPr="000606C6">
        <w:rPr>
          <w:sz w:val="24"/>
          <w:szCs w:val="24"/>
        </w:rPr>
        <w:t xml:space="preserve"> aucune </w:t>
      </w:r>
      <w:r w:rsidR="000606C6">
        <w:rPr>
          <w:sz w:val="24"/>
          <w:szCs w:val="24"/>
        </w:rPr>
        <w:t xml:space="preserve">négociation possible </w:t>
      </w:r>
      <w:r w:rsidRPr="000606C6">
        <w:rPr>
          <w:sz w:val="24"/>
          <w:szCs w:val="24"/>
        </w:rPr>
        <w:t>sur les terrains constructibles.</w:t>
      </w:r>
    </w:p>
    <w:p w:rsidR="000606C6" w:rsidRDefault="000606C6" w:rsidP="00AA16F2">
      <w:pPr>
        <w:rPr>
          <w:sz w:val="24"/>
          <w:szCs w:val="24"/>
        </w:rPr>
      </w:pPr>
    </w:p>
    <w:p w:rsidR="000606C6" w:rsidRDefault="00AA16F2" w:rsidP="00AA16F2">
      <w:pPr>
        <w:rPr>
          <w:sz w:val="24"/>
          <w:szCs w:val="24"/>
        </w:rPr>
      </w:pPr>
      <w:r w:rsidRPr="000606C6">
        <w:rPr>
          <w:sz w:val="24"/>
          <w:szCs w:val="24"/>
        </w:rPr>
        <w:t>N</w:t>
      </w:r>
      <w:r w:rsidR="00E42729">
        <w:rPr>
          <w:sz w:val="24"/>
          <w:szCs w:val="24"/>
        </w:rPr>
        <w:t>ON</w:t>
      </w:r>
      <w:r w:rsidRPr="000606C6">
        <w:rPr>
          <w:sz w:val="24"/>
          <w:szCs w:val="24"/>
        </w:rPr>
        <w:t xml:space="preserve"> à une Genève </w:t>
      </w:r>
      <w:r w:rsidR="00E42729">
        <w:rPr>
          <w:sz w:val="24"/>
          <w:szCs w:val="24"/>
        </w:rPr>
        <w:t>de 600'000 habitants en 2030 et à des transports encore plus chaotiques.</w:t>
      </w:r>
    </w:p>
    <w:p w:rsidR="00E42729" w:rsidRDefault="00E42729" w:rsidP="00AA16F2">
      <w:pPr>
        <w:rPr>
          <w:sz w:val="24"/>
          <w:szCs w:val="24"/>
        </w:rPr>
      </w:pPr>
    </w:p>
    <w:p w:rsidR="008364FE" w:rsidRDefault="00BA313A" w:rsidP="00AA16F2">
      <w:pPr>
        <w:rPr>
          <w:sz w:val="24"/>
          <w:szCs w:val="24"/>
        </w:rPr>
      </w:pPr>
      <w:r>
        <w:rPr>
          <w:sz w:val="24"/>
          <w:szCs w:val="24"/>
        </w:rPr>
        <w:t xml:space="preserve">Quand on modifie à tel point le visage de Genève, il est nécessaire que le peuple se prononce. Ce référendum est la seule possibilité de donner la parole au peuple. Signer et faites signer </w:t>
      </w:r>
      <w:r w:rsidR="00AA16F2" w:rsidRPr="000606C6">
        <w:rPr>
          <w:sz w:val="24"/>
          <w:szCs w:val="24"/>
        </w:rPr>
        <w:t>ce référendum et renvoyez</w:t>
      </w:r>
      <w:r w:rsidR="008C5E3D">
        <w:rPr>
          <w:sz w:val="24"/>
          <w:szCs w:val="24"/>
        </w:rPr>
        <w:t xml:space="preserve">-le jusqu’au </w:t>
      </w:r>
      <w:r w:rsidR="001B1E0A" w:rsidRPr="001B1E0A">
        <w:rPr>
          <w:sz w:val="24"/>
          <w:szCs w:val="24"/>
          <w:highlight w:val="yellow"/>
        </w:rPr>
        <w:t xml:space="preserve">8 juillet </w:t>
      </w:r>
      <w:r w:rsidR="000606C6" w:rsidRPr="001B1E0A">
        <w:rPr>
          <w:sz w:val="24"/>
          <w:szCs w:val="24"/>
          <w:highlight w:val="yellow"/>
        </w:rPr>
        <w:t xml:space="preserve"> </w:t>
      </w:r>
      <w:r w:rsidR="000606C6" w:rsidRPr="008364FE">
        <w:rPr>
          <w:sz w:val="24"/>
          <w:szCs w:val="24"/>
          <w:highlight w:val="yellow"/>
        </w:rPr>
        <w:t>2013</w:t>
      </w:r>
      <w:r w:rsidR="008364FE">
        <w:rPr>
          <w:sz w:val="24"/>
          <w:szCs w:val="24"/>
        </w:rPr>
        <w:t xml:space="preserve"> à l’adresse suivante :</w:t>
      </w:r>
    </w:p>
    <w:p w:rsidR="008364FE" w:rsidRDefault="008364FE" w:rsidP="00AA16F2">
      <w:pPr>
        <w:rPr>
          <w:sz w:val="24"/>
          <w:szCs w:val="24"/>
        </w:rPr>
      </w:pPr>
    </w:p>
    <w:p w:rsidR="008364FE" w:rsidRDefault="008364FE" w:rsidP="00AA16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Stop Surdensification</w:t>
      </w:r>
    </w:p>
    <w:p w:rsidR="008364FE" w:rsidRDefault="008364FE" w:rsidP="00AA16F2">
      <w:pPr>
        <w:rPr>
          <w:sz w:val="24"/>
          <w:szCs w:val="24"/>
        </w:rPr>
      </w:pPr>
      <w:r>
        <w:rPr>
          <w:sz w:val="24"/>
          <w:szCs w:val="24"/>
        </w:rPr>
        <w:t>Chemin Grange Collomb 32</w:t>
      </w:r>
    </w:p>
    <w:p w:rsidR="008364FE" w:rsidRDefault="008364FE" w:rsidP="00AA16F2">
      <w:pPr>
        <w:rPr>
          <w:sz w:val="24"/>
          <w:szCs w:val="24"/>
        </w:rPr>
      </w:pPr>
      <w:r>
        <w:rPr>
          <w:sz w:val="24"/>
          <w:szCs w:val="24"/>
        </w:rPr>
        <w:t>1212 Grand Lancy</w:t>
      </w:r>
    </w:p>
    <w:p w:rsidR="000606C6" w:rsidRDefault="000606C6" w:rsidP="00AA16F2">
      <w:pPr>
        <w:rPr>
          <w:sz w:val="24"/>
          <w:szCs w:val="24"/>
        </w:rPr>
      </w:pPr>
    </w:p>
    <w:p w:rsidR="00AA16F2" w:rsidRPr="00DD60C3" w:rsidRDefault="00AA16F2" w:rsidP="00DD60C3">
      <w:pPr>
        <w:rPr>
          <w:sz w:val="24"/>
          <w:szCs w:val="24"/>
        </w:rPr>
      </w:pPr>
      <w:r w:rsidRPr="000606C6">
        <w:rPr>
          <w:sz w:val="24"/>
          <w:szCs w:val="24"/>
        </w:rPr>
        <w:t>Pour télécharger des feuilles de référendum</w:t>
      </w:r>
      <w:r w:rsidR="00E42729">
        <w:rPr>
          <w:sz w:val="24"/>
          <w:szCs w:val="24"/>
        </w:rPr>
        <w:t xml:space="preserve">, </w:t>
      </w:r>
      <w:r w:rsidRPr="000606C6">
        <w:rPr>
          <w:sz w:val="24"/>
          <w:szCs w:val="24"/>
        </w:rPr>
        <w:t>trouve</w:t>
      </w:r>
      <w:r w:rsidR="00362E5E">
        <w:rPr>
          <w:sz w:val="24"/>
          <w:szCs w:val="24"/>
        </w:rPr>
        <w:t>r</w:t>
      </w:r>
      <w:r w:rsidRPr="000606C6">
        <w:rPr>
          <w:sz w:val="24"/>
          <w:szCs w:val="24"/>
        </w:rPr>
        <w:t xml:space="preserve"> plus d'informations, </w:t>
      </w:r>
      <w:r w:rsidR="00E42729">
        <w:rPr>
          <w:sz w:val="24"/>
          <w:szCs w:val="24"/>
        </w:rPr>
        <w:t xml:space="preserve">ou soutenir financièrement notre action, visitez notre site : </w:t>
      </w:r>
      <w:hyperlink r:id="rId7" w:history="1">
        <w:r w:rsidR="00387E21" w:rsidRPr="00DD60C3">
          <w:rPr>
            <w:rStyle w:val="Lienhypertexte"/>
            <w:sz w:val="24"/>
            <w:szCs w:val="24"/>
          </w:rPr>
          <w:t>www.stopsurdensification.ch</w:t>
        </w:r>
      </w:hyperlink>
    </w:p>
    <w:p w:rsidR="000606C6" w:rsidRPr="00DD60C3" w:rsidRDefault="000606C6" w:rsidP="00DD60C3">
      <w:pPr>
        <w:tabs>
          <w:tab w:val="left" w:pos="7620"/>
        </w:tabs>
        <w:ind w:right="107"/>
        <w:rPr>
          <w:sz w:val="24"/>
          <w:szCs w:val="24"/>
        </w:rPr>
      </w:pPr>
      <w:r w:rsidRPr="00DD60C3">
        <w:rPr>
          <w:sz w:val="24"/>
          <w:szCs w:val="24"/>
        </w:rPr>
        <w:t>Téléphone</w:t>
      </w:r>
      <w:r w:rsidR="00DD60C3">
        <w:rPr>
          <w:sz w:val="24"/>
          <w:szCs w:val="24"/>
        </w:rPr>
        <w:t xml:space="preserve"> : </w:t>
      </w:r>
      <w:r w:rsidR="008A718D" w:rsidRPr="00DD60C3">
        <w:rPr>
          <w:sz w:val="24"/>
          <w:szCs w:val="24"/>
        </w:rPr>
        <w:t>022</w:t>
      </w:r>
      <w:r w:rsidR="00E42729" w:rsidRPr="00DD60C3">
        <w:rPr>
          <w:sz w:val="24"/>
          <w:szCs w:val="24"/>
        </w:rPr>
        <w:t xml:space="preserve"> </w:t>
      </w:r>
      <w:r w:rsidR="008A718D" w:rsidRPr="00DD60C3">
        <w:rPr>
          <w:sz w:val="24"/>
          <w:szCs w:val="24"/>
        </w:rPr>
        <w:t>343 91 90</w:t>
      </w:r>
    </w:p>
    <w:p w:rsidR="000606C6" w:rsidRDefault="000606C6" w:rsidP="00DD60C3">
      <w:pPr>
        <w:tabs>
          <w:tab w:val="left" w:pos="7620"/>
        </w:tabs>
      </w:pPr>
      <w:r w:rsidRPr="0051385A">
        <w:rPr>
          <w:sz w:val="24"/>
          <w:szCs w:val="24"/>
        </w:rPr>
        <w:t xml:space="preserve">E-mail : </w:t>
      </w:r>
      <w:hyperlink r:id="rId8" w:history="1">
        <w:r w:rsidR="00387E21" w:rsidRPr="0051385A">
          <w:rPr>
            <w:rStyle w:val="Lienhypertexte"/>
            <w:sz w:val="24"/>
            <w:szCs w:val="24"/>
          </w:rPr>
          <w:t>referendum@stopsurdensification.ch</w:t>
        </w:r>
      </w:hyperlink>
    </w:p>
    <w:p w:rsidR="001B1E0A" w:rsidRDefault="001B1E0A" w:rsidP="00DD60C3">
      <w:pPr>
        <w:tabs>
          <w:tab w:val="left" w:pos="7620"/>
        </w:tabs>
        <w:rPr>
          <w:i/>
        </w:rPr>
      </w:pPr>
    </w:p>
    <w:p w:rsidR="001B1E0A" w:rsidRPr="001B1E0A" w:rsidRDefault="001B1E0A" w:rsidP="00DD60C3">
      <w:pPr>
        <w:tabs>
          <w:tab w:val="left" w:pos="7620"/>
        </w:tabs>
        <w:rPr>
          <w:i/>
          <w:sz w:val="24"/>
          <w:szCs w:val="24"/>
        </w:rPr>
      </w:pPr>
      <w:r w:rsidRPr="001B1E0A">
        <w:rPr>
          <w:i/>
        </w:rPr>
        <w:t>Ci-dessous la Cité de Meyrin avec un ID de 1.8</w:t>
      </w:r>
    </w:p>
    <w:p w:rsidR="007C5551" w:rsidRDefault="001B1E0A" w:rsidP="00281BDF">
      <w:pPr>
        <w:tabs>
          <w:tab w:val="left" w:pos="7620"/>
        </w:tabs>
        <w:spacing w:before="60"/>
        <w:rPr>
          <w:noProof/>
          <w:sz w:val="36"/>
          <w:szCs w:val="36"/>
          <w:lang w:eastAsia="fr-CH"/>
        </w:rPr>
      </w:pPr>
      <w:r>
        <w:rPr>
          <w:noProof/>
          <w:sz w:val="36"/>
          <w:szCs w:val="36"/>
          <w:lang w:eastAsia="fr-CH"/>
        </w:rPr>
        <w:drawing>
          <wp:inline distT="0" distB="0" distL="0" distR="0">
            <wp:extent cx="3543453" cy="4368017"/>
            <wp:effectExtent l="19050" t="0" r="0" b="0"/>
            <wp:docPr id="1" name="Image 0" descr="Photo-montage de la Cité Meyrin avec la nouvelle l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montage de la Cité Meyrin avec la nouvelle loi.jpg"/>
                    <pic:cNvPicPr/>
                  </pic:nvPicPr>
                  <pic:blipFill>
                    <a:blip r:embed="rId9" cstate="print"/>
                    <a:srcRect b="7567"/>
                    <a:stretch>
                      <a:fillRect/>
                    </a:stretch>
                  </pic:blipFill>
                  <pic:spPr>
                    <a:xfrm>
                      <a:off x="0" y="0"/>
                      <a:ext cx="3543453" cy="43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E0A" w:rsidRPr="00281BDF" w:rsidRDefault="001B1E0A" w:rsidP="00281BDF">
      <w:pPr>
        <w:tabs>
          <w:tab w:val="left" w:pos="7620"/>
        </w:tabs>
        <w:spacing w:before="60"/>
        <w:rPr>
          <w:sz w:val="36"/>
          <w:szCs w:val="36"/>
        </w:rPr>
      </w:pPr>
    </w:p>
    <w:sectPr w:rsidR="001B1E0A" w:rsidRPr="00281BDF" w:rsidSect="007C5551">
      <w:pgSz w:w="16838" w:h="11906" w:orient="landscape" w:code="9"/>
      <w:pgMar w:top="709" w:right="993" w:bottom="709" w:left="1135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7EEE"/>
    <w:multiLevelType w:val="hybridMultilevel"/>
    <w:tmpl w:val="7F2E836C"/>
    <w:lvl w:ilvl="0" w:tplc="A956E5FC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52FC5589"/>
    <w:multiLevelType w:val="hybridMultilevel"/>
    <w:tmpl w:val="4794515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0A3602"/>
    <w:rsid w:val="000606C6"/>
    <w:rsid w:val="000A3602"/>
    <w:rsid w:val="000B154C"/>
    <w:rsid w:val="000C5E9F"/>
    <w:rsid w:val="00127D89"/>
    <w:rsid w:val="00173796"/>
    <w:rsid w:val="001B1E0A"/>
    <w:rsid w:val="001D6240"/>
    <w:rsid w:val="002242F4"/>
    <w:rsid w:val="002311C1"/>
    <w:rsid w:val="00233EBB"/>
    <w:rsid w:val="00281BDF"/>
    <w:rsid w:val="0028707C"/>
    <w:rsid w:val="002B4B48"/>
    <w:rsid w:val="00362E5E"/>
    <w:rsid w:val="00387E21"/>
    <w:rsid w:val="00471CEE"/>
    <w:rsid w:val="004A402D"/>
    <w:rsid w:val="004B2109"/>
    <w:rsid w:val="004B5BDC"/>
    <w:rsid w:val="004F08AD"/>
    <w:rsid w:val="0051385A"/>
    <w:rsid w:val="005934AA"/>
    <w:rsid w:val="005B1726"/>
    <w:rsid w:val="00665643"/>
    <w:rsid w:val="006E0A51"/>
    <w:rsid w:val="007041F8"/>
    <w:rsid w:val="00747E3E"/>
    <w:rsid w:val="007A227A"/>
    <w:rsid w:val="007A3901"/>
    <w:rsid w:val="007C422D"/>
    <w:rsid w:val="007C5551"/>
    <w:rsid w:val="00811487"/>
    <w:rsid w:val="00813838"/>
    <w:rsid w:val="008364FE"/>
    <w:rsid w:val="00837BEA"/>
    <w:rsid w:val="00872D17"/>
    <w:rsid w:val="00890168"/>
    <w:rsid w:val="008A718D"/>
    <w:rsid w:val="008C0BBF"/>
    <w:rsid w:val="008C5E3D"/>
    <w:rsid w:val="009964B1"/>
    <w:rsid w:val="009F3D73"/>
    <w:rsid w:val="009F7C90"/>
    <w:rsid w:val="00A25FE9"/>
    <w:rsid w:val="00A46094"/>
    <w:rsid w:val="00A72B1E"/>
    <w:rsid w:val="00A91FC3"/>
    <w:rsid w:val="00AA16F2"/>
    <w:rsid w:val="00AC4AE8"/>
    <w:rsid w:val="00AD281E"/>
    <w:rsid w:val="00B10545"/>
    <w:rsid w:val="00B204EE"/>
    <w:rsid w:val="00BA313A"/>
    <w:rsid w:val="00BB1F57"/>
    <w:rsid w:val="00BF0C5E"/>
    <w:rsid w:val="00CA21FF"/>
    <w:rsid w:val="00D40E49"/>
    <w:rsid w:val="00D744A4"/>
    <w:rsid w:val="00D94D69"/>
    <w:rsid w:val="00DC3A48"/>
    <w:rsid w:val="00DD60C3"/>
    <w:rsid w:val="00E42729"/>
    <w:rsid w:val="00EF2E37"/>
    <w:rsid w:val="00F21DB2"/>
    <w:rsid w:val="00F32575"/>
    <w:rsid w:val="00FA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09"/>
    <w:rPr>
      <w:rFonts w:ascii="Verdana" w:eastAsia="Calibri" w:hAnsi="Verdana"/>
      <w:sz w:val="16"/>
      <w:szCs w:val="22"/>
      <w:lang w:eastAsia="en-US"/>
    </w:rPr>
  </w:style>
  <w:style w:type="paragraph" w:styleId="Titre1">
    <w:name w:val="heading 1"/>
    <w:basedOn w:val="Normal"/>
    <w:next w:val="Normal"/>
    <w:autoRedefine/>
    <w:qFormat/>
    <w:rsid w:val="004B2109"/>
    <w:pPr>
      <w:keepNext/>
      <w:spacing w:before="60" w:after="20"/>
      <w:jc w:val="center"/>
      <w:outlineLvl w:val="0"/>
    </w:pPr>
    <w:rPr>
      <w:rFonts w:eastAsia="Times New Roman"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autoRedefine/>
    <w:qFormat/>
    <w:rsid w:val="000A3602"/>
    <w:pPr>
      <w:keepNext/>
      <w:spacing w:before="60" w:after="20"/>
      <w:ind w:left="-540" w:right="-1228"/>
      <w:jc w:val="both"/>
      <w:outlineLvl w:val="1"/>
    </w:pPr>
    <w:rPr>
      <w:rFonts w:eastAsia="Times New Roman"/>
      <w:b/>
      <w:bCs/>
      <w:iCs/>
      <w:sz w:val="18"/>
      <w:szCs w:val="18"/>
      <w:u w:val="single"/>
    </w:rPr>
  </w:style>
  <w:style w:type="paragraph" w:styleId="Titre3">
    <w:name w:val="heading 3"/>
    <w:basedOn w:val="Normal"/>
    <w:next w:val="Normal"/>
    <w:qFormat/>
    <w:rsid w:val="004B2109"/>
    <w:pPr>
      <w:keepNext/>
      <w:spacing w:before="240" w:after="60"/>
      <w:outlineLvl w:val="2"/>
    </w:pPr>
    <w:rPr>
      <w:rFonts w:eastAsia="Times New Roman"/>
      <w:bCs/>
      <w:szCs w:val="26"/>
    </w:rPr>
  </w:style>
  <w:style w:type="paragraph" w:styleId="Titre4">
    <w:name w:val="heading 4"/>
    <w:basedOn w:val="Normal"/>
    <w:next w:val="Normal"/>
    <w:qFormat/>
    <w:rsid w:val="004B2109"/>
    <w:pPr>
      <w:keepNext/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">
    <w:name w:val="texte"/>
    <w:basedOn w:val="Policepardfaut"/>
    <w:rsid w:val="004B2109"/>
  </w:style>
  <w:style w:type="paragraph" w:styleId="Corpsdetexte">
    <w:name w:val="Body Text"/>
    <w:basedOn w:val="Normal"/>
    <w:semiHidden/>
    <w:rsid w:val="004B2109"/>
    <w:pPr>
      <w:spacing w:line="0" w:lineRule="atLeast"/>
      <w:ind w:right="72"/>
    </w:pPr>
    <w:rPr>
      <w:rFonts w:ascii="Arial" w:eastAsia="Times New Roman" w:hAnsi="Arial" w:cs="Arial"/>
      <w:i/>
      <w:iCs/>
      <w:szCs w:val="24"/>
      <w:lang w:val="fr-FR" w:eastAsia="fr-FR"/>
    </w:rPr>
  </w:style>
  <w:style w:type="character" w:customStyle="1" w:styleId="CorpsdetexteCar">
    <w:name w:val="Corps de texte Car"/>
    <w:basedOn w:val="Policepardfaut"/>
    <w:rsid w:val="004B2109"/>
    <w:rPr>
      <w:rFonts w:ascii="Arial" w:hAnsi="Arial" w:cs="Arial"/>
      <w:i/>
      <w:iCs/>
      <w:sz w:val="22"/>
      <w:szCs w:val="24"/>
      <w:lang w:val="fr-FR" w:eastAsia="fr-FR" w:bidi="ar-SA"/>
    </w:rPr>
  </w:style>
  <w:style w:type="paragraph" w:customStyle="1" w:styleId="retrait1">
    <w:name w:val="retrait1"/>
    <w:basedOn w:val="Normal"/>
    <w:rsid w:val="004B21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rsid w:val="004B2109"/>
    <w:rPr>
      <w:rFonts w:ascii="Verdana" w:eastAsia="Times New Roman" w:hAnsi="Verdana" w:cs="Times New Roman"/>
      <w:bCs/>
      <w:kern w:val="32"/>
      <w:sz w:val="28"/>
      <w:szCs w:val="32"/>
      <w:lang w:val="fr-CH" w:eastAsia="en-US"/>
    </w:rPr>
  </w:style>
  <w:style w:type="character" w:customStyle="1" w:styleId="Titre2Car">
    <w:name w:val="Titre 2 Car"/>
    <w:basedOn w:val="Policepardfaut"/>
    <w:rsid w:val="004B2109"/>
    <w:rPr>
      <w:rFonts w:ascii="Verdana" w:eastAsia="Times New Roman" w:hAnsi="Verdana" w:cs="Times New Roman"/>
      <w:b/>
      <w:bCs/>
      <w:iCs/>
      <w:sz w:val="32"/>
      <w:szCs w:val="28"/>
      <w:lang w:val="fr-CH" w:eastAsia="en-US"/>
    </w:rPr>
  </w:style>
  <w:style w:type="character" w:customStyle="1" w:styleId="Titre3Car">
    <w:name w:val="Titre 3 Car"/>
    <w:basedOn w:val="Policepardfaut"/>
    <w:rsid w:val="004B2109"/>
    <w:rPr>
      <w:rFonts w:ascii="Verdana" w:eastAsia="Times New Roman" w:hAnsi="Verdana" w:cs="Times New Roman"/>
      <w:bCs/>
      <w:sz w:val="16"/>
      <w:szCs w:val="26"/>
      <w:lang w:val="fr-CH" w:eastAsia="en-US"/>
    </w:rPr>
  </w:style>
  <w:style w:type="paragraph" w:styleId="Corpsdetexte2">
    <w:name w:val="Body Text 2"/>
    <w:basedOn w:val="Normal"/>
    <w:semiHidden/>
    <w:rsid w:val="004B2109"/>
    <w:rPr>
      <w:sz w:val="14"/>
    </w:rPr>
  </w:style>
  <w:style w:type="paragraph" w:customStyle="1" w:styleId="Initiative">
    <w:name w:val="Initiative"/>
    <w:autoRedefine/>
    <w:qFormat/>
    <w:rsid w:val="004B2109"/>
    <w:pPr>
      <w:tabs>
        <w:tab w:val="left" w:pos="170"/>
      </w:tabs>
      <w:ind w:left="142" w:hanging="142"/>
      <w:jc w:val="both"/>
    </w:pPr>
    <w:rPr>
      <w:rFonts w:ascii="Verdana" w:eastAsia="Calibri" w:hAnsi="Verdana" w:cs="Arial"/>
      <w:sz w:val="10"/>
      <w:szCs w:val="10"/>
      <w:lang w:eastAsia="en-US"/>
    </w:rPr>
  </w:style>
  <w:style w:type="paragraph" w:customStyle="1" w:styleId="Initaitivegras">
    <w:name w:val="Initaitive gras"/>
    <w:basedOn w:val="Initiative"/>
    <w:autoRedefine/>
    <w:qFormat/>
    <w:rsid w:val="004B2109"/>
    <w:pPr>
      <w:spacing w:before="40"/>
    </w:pPr>
    <w:rPr>
      <w:b/>
    </w:rPr>
  </w:style>
  <w:style w:type="paragraph" w:styleId="Corpsdetexte3">
    <w:name w:val="Body Text 3"/>
    <w:basedOn w:val="Normal"/>
    <w:semiHidden/>
    <w:rsid w:val="004B2109"/>
    <w:pPr>
      <w:jc w:val="both"/>
    </w:pPr>
    <w:rPr>
      <w:sz w:val="14"/>
    </w:rPr>
  </w:style>
  <w:style w:type="paragraph" w:styleId="Normalcentr">
    <w:name w:val="Block Text"/>
    <w:basedOn w:val="Normal"/>
    <w:semiHidden/>
    <w:rsid w:val="004B2109"/>
    <w:pPr>
      <w:pBdr>
        <w:top w:val="single" w:sz="4" w:space="1" w:color="auto"/>
        <w:left w:val="single" w:sz="4" w:space="6" w:color="auto"/>
        <w:bottom w:val="single" w:sz="4" w:space="3" w:color="auto"/>
        <w:right w:val="single" w:sz="4" w:space="0" w:color="auto"/>
      </w:pBdr>
      <w:autoSpaceDE w:val="0"/>
      <w:autoSpaceDN w:val="0"/>
      <w:adjustRightInd w:val="0"/>
      <w:ind w:left="-426" w:right="-1276"/>
    </w:pPr>
    <w:rPr>
      <w:rFonts w:cs="Arial"/>
      <w:sz w:val="14"/>
      <w:szCs w:val="16"/>
      <w:lang w:val="fr-FR"/>
    </w:rPr>
  </w:style>
  <w:style w:type="paragraph" w:customStyle="1" w:styleId="Default">
    <w:name w:val="Default"/>
    <w:rsid w:val="004B2109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rsid w:val="004B210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5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C4AE8"/>
    <w:rPr>
      <w:b/>
      <w:bCs/>
    </w:rPr>
  </w:style>
  <w:style w:type="character" w:styleId="Accentuation">
    <w:name w:val="Emphasis"/>
    <w:basedOn w:val="Policepardfaut"/>
    <w:uiPriority w:val="20"/>
    <w:qFormat/>
    <w:rsid w:val="00AC4AE8"/>
    <w:rPr>
      <w:i/>
      <w:iCs/>
    </w:rPr>
  </w:style>
  <w:style w:type="paragraph" w:customStyle="1" w:styleId="Standard">
    <w:name w:val="Standard"/>
    <w:rsid w:val="008364FE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385A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85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dum@stopsurdensification.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opsurdensificatio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dum@stopsurdensification.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4E10-9B5E-4A9C-AA6F-C77E9B2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Initiative législative pour le renforcement du contrôle des entreprises</vt:lpstr>
    </vt:vector>
  </TitlesOfParts>
  <Company>Microsoft</Company>
  <LinksUpToDate>false</LinksUpToDate>
  <CharactersWithSpaces>3729</CharactersWithSpaces>
  <SharedDoc>false</SharedDoc>
  <HLinks>
    <vt:vector size="18" baseType="variant">
      <vt:variant>
        <vt:i4>2162717</vt:i4>
      </vt:variant>
      <vt:variant>
        <vt:i4>3</vt:i4>
      </vt:variant>
      <vt:variant>
        <vt:i4>0</vt:i4>
      </vt:variant>
      <vt:variant>
        <vt:i4>5</vt:i4>
      </vt:variant>
      <vt:variant>
        <vt:lpwstr>mailto:referendum@stopsurdensification.ch</vt:lpwstr>
      </vt:variant>
      <vt:variant>
        <vt:lpwstr/>
      </vt:variant>
      <vt:variant>
        <vt:i4>7864366</vt:i4>
      </vt:variant>
      <vt:variant>
        <vt:i4>0</vt:i4>
      </vt:variant>
      <vt:variant>
        <vt:i4>0</vt:i4>
      </vt:variant>
      <vt:variant>
        <vt:i4>5</vt:i4>
      </vt:variant>
      <vt:variant>
        <vt:lpwstr>http://www.stopsurdensification.ch/</vt:lpwstr>
      </vt:variant>
      <vt:variant>
        <vt:lpwstr/>
      </vt:variant>
      <vt:variant>
        <vt:i4>2162717</vt:i4>
      </vt:variant>
      <vt:variant>
        <vt:i4>0</vt:i4>
      </vt:variant>
      <vt:variant>
        <vt:i4>0</vt:i4>
      </vt:variant>
      <vt:variant>
        <vt:i4>5</vt:i4>
      </vt:variant>
      <vt:variant>
        <vt:lpwstr>mailto:référendum@stopsurdensification.ch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Initiative législative pour le renforcement du contrôle des entreprises</dc:title>
  <dc:creator>unjova</dc:creator>
  <cp:lastModifiedBy>abu</cp:lastModifiedBy>
  <cp:revision>2</cp:revision>
  <cp:lastPrinted>2013-06-03T16:25:00Z</cp:lastPrinted>
  <dcterms:created xsi:type="dcterms:W3CDTF">2013-06-24T14:42:00Z</dcterms:created>
  <dcterms:modified xsi:type="dcterms:W3CDTF">2013-06-24T14:42:00Z</dcterms:modified>
</cp:coreProperties>
</file>